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102</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205013</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ascii="Arial" w:hAnsi="Arial" w:cs="Arial"/>
          <w:b/>
          <w:bCs/>
          <w:sz w:val="24"/>
          <w:szCs w:val="24"/>
        </w:rPr>
        <w:t>21 Feb – 03 Mar</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 xml:space="preserve">Discussion on RRM aspect of UL gap for </w:t>
      </w:r>
      <w:bookmarkEnd w:id="0"/>
      <w:r>
        <w:rPr>
          <w:rFonts w:hint="eastAsia" w:eastAsia="宋体"/>
          <w:color w:val="auto"/>
          <w:sz w:val="24"/>
          <w:lang w:val="en-US" w:eastAsia="zh-CN"/>
        </w:rPr>
        <w:t>Tx power management</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10.4.6.3</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101bis e-meeting, one WF [1] was approved, the agreements about RRM aspect are summarized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i/>
                <w:sz w:val="20"/>
                <w:szCs w:val="20"/>
                <w:highlight w:val="green"/>
                <w:u w:val="single"/>
                <w:lang w:val="en-GB"/>
              </w:rPr>
            </w:pPr>
            <w:r>
              <w:rPr>
                <w:i/>
                <w:sz w:val="20"/>
                <w:szCs w:val="20"/>
                <w:highlight w:val="green"/>
                <w:u w:val="single"/>
                <w:lang w:val="en-GB"/>
              </w:rPr>
              <w:t>Agreement:</w:t>
            </w:r>
          </w:p>
          <w:p>
            <w:pPr>
              <w:rPr>
                <w:iCs/>
                <w:sz w:val="20"/>
                <w:szCs w:val="20"/>
                <w:lang w:val="en-GB"/>
              </w:rPr>
            </w:pPr>
            <w:r>
              <w:rPr>
                <w:iCs/>
                <w:sz w:val="20"/>
                <w:szCs w:val="20"/>
                <w:lang w:val="en-GB"/>
              </w:rPr>
              <w:t>When UGL is shorter than a slot length with respect to an activated UL BWP’s SCS on a serving cell where UL gap is configured and activated, the configured UGL and UGRP are adjusted. For ULGP#3, when an SCS of active BWP is 60kHz, UGL and UGRP are adjusted to Option-A in Table 1. The updated UL configuration table is:</w:t>
            </w:r>
          </w:p>
          <w:p>
            <w:pPr>
              <w:rPr>
                <w:sz w:val="20"/>
                <w:szCs w:val="20"/>
              </w:rPr>
            </w:pPr>
            <w:r>
              <w:rPr>
                <w:sz w:val="20"/>
                <w:szCs w:val="20"/>
              </w:rPr>
              <w:t xml:space="preserve"> </w:t>
            </w:r>
          </w:p>
          <w:tbl>
            <w:tblPr>
              <w:tblStyle w:val="15"/>
              <w:tblW w:w="8218"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985"/>
              <w:gridCol w:w="3884"/>
              <w:gridCol w:w="2349"/>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59" w:hRule="atLeast"/>
                <w:jc w:val="center"/>
              </w:trPr>
              <w:tc>
                <w:tcPr>
                  <w:tcW w:w="1985" w:type="dxa"/>
                  <w:tcBorders>
                    <w:top w:val="single" w:color="auto" w:sz="6" w:space="0"/>
                    <w:left w:val="single" w:color="auto" w:sz="6" w:space="0"/>
                    <w:bottom w:val="single" w:color="auto" w:sz="6" w:space="0"/>
                    <w:right w:val="single" w:color="auto" w:sz="6" w:space="0"/>
                  </w:tcBorders>
                  <w:shd w:val="clear" w:color="auto" w:fill="auto"/>
                  <w:vAlign w:val="bottom"/>
                </w:tcPr>
                <w:p>
                  <w:pPr>
                    <w:spacing w:after="120"/>
                    <w:jc w:val="both"/>
                    <w:rPr>
                      <w:sz w:val="20"/>
                      <w:szCs w:val="20"/>
                      <w:lang w:val="en-GB"/>
                    </w:rPr>
                  </w:pPr>
                  <w:r>
                    <w:rPr>
                      <w:sz w:val="20"/>
                      <w:szCs w:val="20"/>
                      <w:lang w:val="en-GB"/>
                    </w:rPr>
                    <w:t> </w:t>
                  </w:r>
                </w:p>
              </w:tc>
              <w:tc>
                <w:tcPr>
                  <w:tcW w:w="3884" w:type="dxa"/>
                  <w:tcBorders>
                    <w:top w:val="single" w:color="auto" w:sz="6" w:space="0"/>
                    <w:left w:val="nil"/>
                    <w:bottom w:val="single" w:color="auto" w:sz="6" w:space="0"/>
                    <w:right w:val="single" w:color="auto" w:sz="6" w:space="0"/>
                  </w:tcBorders>
                  <w:shd w:val="clear" w:color="auto" w:fill="auto"/>
                  <w:vAlign w:val="bottom"/>
                </w:tcPr>
                <w:p>
                  <w:pPr>
                    <w:spacing w:after="120"/>
                    <w:jc w:val="both"/>
                    <w:rPr>
                      <w:sz w:val="20"/>
                      <w:szCs w:val="20"/>
                      <w:lang w:val="en-GB"/>
                    </w:rPr>
                  </w:pPr>
                  <w:r>
                    <w:rPr>
                      <w:sz w:val="20"/>
                      <w:szCs w:val="20"/>
                      <w:u w:val="single"/>
                      <w:lang w:val="en-GB"/>
                    </w:rPr>
                    <w:t>UGL [ms]</w:t>
                  </w:r>
                  <w:r>
                    <w:rPr>
                      <w:sz w:val="20"/>
                      <w:szCs w:val="20"/>
                      <w:lang w:val="en-GB"/>
                    </w:rPr>
                    <w:t> </w:t>
                  </w:r>
                </w:p>
              </w:tc>
              <w:tc>
                <w:tcPr>
                  <w:tcW w:w="2349" w:type="dxa"/>
                  <w:tcBorders>
                    <w:top w:val="single" w:color="auto" w:sz="6" w:space="0"/>
                    <w:left w:val="nil"/>
                    <w:bottom w:val="single" w:color="auto" w:sz="6" w:space="0"/>
                    <w:right w:val="single" w:color="auto" w:sz="6" w:space="0"/>
                  </w:tcBorders>
                  <w:shd w:val="clear" w:color="auto" w:fill="auto"/>
                  <w:vAlign w:val="bottom"/>
                </w:tcPr>
                <w:p>
                  <w:pPr>
                    <w:spacing w:after="120"/>
                    <w:jc w:val="both"/>
                    <w:rPr>
                      <w:sz w:val="20"/>
                      <w:szCs w:val="20"/>
                      <w:lang w:val="en-GB"/>
                    </w:rPr>
                  </w:pPr>
                  <w:r>
                    <w:rPr>
                      <w:sz w:val="20"/>
                      <w:szCs w:val="20"/>
                      <w:u w:val="single"/>
                      <w:lang w:val="en-GB"/>
                    </w:rPr>
                    <w:t>UGRP [ms]</w:t>
                  </w:r>
                  <w:r>
                    <w:rPr>
                      <w:sz w:val="20"/>
                      <w:szCs w:val="20"/>
                      <w:lang w:val="en-GB"/>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68" w:hRule="atLeast"/>
                <w:jc w:val="center"/>
              </w:trPr>
              <w:tc>
                <w:tcPr>
                  <w:tcW w:w="1985" w:type="dxa"/>
                  <w:tcBorders>
                    <w:top w:val="nil"/>
                    <w:left w:val="single" w:color="auto" w:sz="6" w:space="0"/>
                    <w:bottom w:val="single" w:color="auto" w:sz="6" w:space="0"/>
                    <w:right w:val="single" w:color="auto" w:sz="6" w:space="0"/>
                  </w:tcBorders>
                  <w:shd w:val="clear" w:color="auto" w:fill="auto"/>
                  <w:vAlign w:val="bottom"/>
                </w:tcPr>
                <w:p>
                  <w:pPr>
                    <w:spacing w:after="120"/>
                    <w:jc w:val="both"/>
                    <w:rPr>
                      <w:sz w:val="20"/>
                      <w:szCs w:val="20"/>
                      <w:u w:val="single"/>
                      <w:lang w:val="en-GB"/>
                    </w:rPr>
                  </w:pPr>
                  <w:r>
                    <w:rPr>
                      <w:sz w:val="20"/>
                      <w:szCs w:val="20"/>
                      <w:u w:val="single"/>
                      <w:lang w:val="en-GB"/>
                    </w:rPr>
                    <w:t>UL MGP #0</w:t>
                  </w:r>
                  <w:r>
                    <w:rPr>
                      <w:sz w:val="20"/>
                      <w:szCs w:val="20"/>
                      <w:lang w:val="en-GB"/>
                    </w:rPr>
                    <w:t> </w:t>
                  </w:r>
                </w:p>
              </w:tc>
              <w:tc>
                <w:tcPr>
                  <w:tcW w:w="3884" w:type="dxa"/>
                  <w:tcBorders>
                    <w:top w:val="nil"/>
                    <w:left w:val="nil"/>
                    <w:bottom w:val="single" w:color="auto" w:sz="6" w:space="0"/>
                    <w:right w:val="single" w:color="auto" w:sz="6" w:space="0"/>
                  </w:tcBorders>
                  <w:shd w:val="clear" w:color="auto" w:fill="auto"/>
                  <w:vAlign w:val="bottom"/>
                </w:tcPr>
                <w:p>
                  <w:pPr>
                    <w:spacing w:after="120"/>
                    <w:jc w:val="both"/>
                    <w:rPr>
                      <w:sz w:val="20"/>
                      <w:szCs w:val="20"/>
                      <w:u w:val="single"/>
                      <w:lang w:val="en-GB"/>
                    </w:rPr>
                  </w:pPr>
                  <w:r>
                    <w:rPr>
                      <w:sz w:val="20"/>
                      <w:szCs w:val="20"/>
                      <w:u w:val="single"/>
                      <w:lang w:val="en-GB"/>
                    </w:rPr>
                    <w:t>1.0</w:t>
                  </w:r>
                  <w:r>
                    <w:rPr>
                      <w:sz w:val="20"/>
                      <w:szCs w:val="20"/>
                      <w:lang w:val="en-GB"/>
                    </w:rPr>
                    <w:t> </w:t>
                  </w:r>
                </w:p>
              </w:tc>
              <w:tc>
                <w:tcPr>
                  <w:tcW w:w="2349" w:type="dxa"/>
                  <w:tcBorders>
                    <w:top w:val="nil"/>
                    <w:left w:val="nil"/>
                    <w:bottom w:val="single" w:color="auto" w:sz="6" w:space="0"/>
                    <w:right w:val="single" w:color="auto" w:sz="6" w:space="0"/>
                  </w:tcBorders>
                  <w:shd w:val="clear" w:color="auto" w:fill="auto"/>
                  <w:vAlign w:val="bottom"/>
                </w:tcPr>
                <w:p>
                  <w:pPr>
                    <w:spacing w:after="120"/>
                    <w:jc w:val="both"/>
                    <w:rPr>
                      <w:sz w:val="20"/>
                      <w:szCs w:val="20"/>
                      <w:u w:val="single"/>
                      <w:lang w:val="en-GB"/>
                    </w:rPr>
                  </w:pPr>
                  <w:r>
                    <w:rPr>
                      <w:sz w:val="20"/>
                      <w:szCs w:val="20"/>
                      <w:u w:val="single"/>
                      <w:lang w:val="en-GB"/>
                    </w:rPr>
                    <w:t>20</w:t>
                  </w:r>
                  <w:r>
                    <w:rPr>
                      <w:sz w:val="20"/>
                      <w:szCs w:val="20"/>
                      <w:lang w:val="en-GB"/>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59" w:hRule="atLeast"/>
                <w:jc w:val="center"/>
              </w:trPr>
              <w:tc>
                <w:tcPr>
                  <w:tcW w:w="1985" w:type="dxa"/>
                  <w:tcBorders>
                    <w:top w:val="nil"/>
                    <w:left w:val="single" w:color="auto" w:sz="6" w:space="0"/>
                    <w:bottom w:val="single" w:color="auto" w:sz="6" w:space="0"/>
                    <w:right w:val="single" w:color="auto" w:sz="6" w:space="0"/>
                  </w:tcBorders>
                  <w:shd w:val="clear" w:color="auto" w:fill="auto"/>
                  <w:vAlign w:val="bottom"/>
                </w:tcPr>
                <w:p>
                  <w:pPr>
                    <w:spacing w:after="120"/>
                    <w:jc w:val="both"/>
                    <w:rPr>
                      <w:sz w:val="20"/>
                      <w:szCs w:val="20"/>
                      <w:lang w:val="en-GB"/>
                    </w:rPr>
                  </w:pPr>
                  <w:r>
                    <w:rPr>
                      <w:sz w:val="20"/>
                      <w:szCs w:val="20"/>
                      <w:u w:val="single"/>
                      <w:lang w:val="en-GB"/>
                    </w:rPr>
                    <w:t>UL MGP #1</w:t>
                  </w:r>
                  <w:r>
                    <w:rPr>
                      <w:sz w:val="20"/>
                      <w:szCs w:val="20"/>
                      <w:lang w:val="en-GB"/>
                    </w:rPr>
                    <w:t> </w:t>
                  </w:r>
                </w:p>
              </w:tc>
              <w:tc>
                <w:tcPr>
                  <w:tcW w:w="3884" w:type="dxa"/>
                  <w:tcBorders>
                    <w:top w:val="nil"/>
                    <w:left w:val="nil"/>
                    <w:bottom w:val="single" w:color="auto" w:sz="6" w:space="0"/>
                    <w:right w:val="single" w:color="auto" w:sz="6" w:space="0"/>
                  </w:tcBorders>
                  <w:shd w:val="clear" w:color="auto" w:fill="auto"/>
                  <w:vAlign w:val="bottom"/>
                </w:tcPr>
                <w:p>
                  <w:pPr>
                    <w:spacing w:after="120"/>
                    <w:jc w:val="both"/>
                    <w:rPr>
                      <w:sz w:val="20"/>
                      <w:szCs w:val="20"/>
                      <w:lang w:val="en-GB"/>
                    </w:rPr>
                  </w:pPr>
                  <w:r>
                    <w:rPr>
                      <w:sz w:val="20"/>
                      <w:szCs w:val="20"/>
                      <w:u w:val="single"/>
                      <w:lang w:val="en-GB"/>
                    </w:rPr>
                    <w:t>1.0</w:t>
                  </w:r>
                  <w:r>
                    <w:rPr>
                      <w:sz w:val="20"/>
                      <w:szCs w:val="20"/>
                      <w:lang w:val="en-GB"/>
                    </w:rPr>
                    <w:t> </w:t>
                  </w:r>
                </w:p>
              </w:tc>
              <w:tc>
                <w:tcPr>
                  <w:tcW w:w="2349" w:type="dxa"/>
                  <w:tcBorders>
                    <w:top w:val="nil"/>
                    <w:left w:val="nil"/>
                    <w:bottom w:val="single" w:color="auto" w:sz="6" w:space="0"/>
                    <w:right w:val="single" w:color="auto" w:sz="6" w:space="0"/>
                  </w:tcBorders>
                  <w:shd w:val="clear" w:color="auto" w:fill="auto"/>
                  <w:vAlign w:val="bottom"/>
                </w:tcPr>
                <w:p>
                  <w:pPr>
                    <w:spacing w:after="120"/>
                    <w:jc w:val="both"/>
                    <w:rPr>
                      <w:sz w:val="20"/>
                      <w:szCs w:val="20"/>
                      <w:lang w:val="en-GB"/>
                    </w:rPr>
                  </w:pPr>
                  <w:r>
                    <w:rPr>
                      <w:sz w:val="20"/>
                      <w:szCs w:val="20"/>
                      <w:u w:val="single"/>
                      <w:lang w:val="en-GB"/>
                    </w:rPr>
                    <w:t>40</w:t>
                  </w:r>
                  <w:r>
                    <w:rPr>
                      <w:sz w:val="20"/>
                      <w:szCs w:val="20"/>
                      <w:lang w:val="en-GB"/>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59" w:hRule="atLeast"/>
                <w:jc w:val="center"/>
              </w:trPr>
              <w:tc>
                <w:tcPr>
                  <w:tcW w:w="1985" w:type="dxa"/>
                  <w:tcBorders>
                    <w:top w:val="nil"/>
                    <w:left w:val="single" w:color="auto" w:sz="6" w:space="0"/>
                    <w:bottom w:val="single" w:color="auto" w:sz="4" w:space="0"/>
                    <w:right w:val="single" w:color="auto" w:sz="6" w:space="0"/>
                  </w:tcBorders>
                  <w:shd w:val="clear" w:color="auto" w:fill="auto"/>
                  <w:vAlign w:val="bottom"/>
                </w:tcPr>
                <w:p>
                  <w:pPr>
                    <w:spacing w:after="120"/>
                    <w:jc w:val="both"/>
                    <w:rPr>
                      <w:sz w:val="20"/>
                      <w:szCs w:val="20"/>
                      <w:lang w:val="en-GB"/>
                    </w:rPr>
                  </w:pPr>
                  <w:r>
                    <w:rPr>
                      <w:sz w:val="20"/>
                      <w:szCs w:val="20"/>
                      <w:u w:val="single"/>
                      <w:lang w:val="en-GB"/>
                    </w:rPr>
                    <w:t>UL MGP #2</w:t>
                  </w:r>
                  <w:r>
                    <w:rPr>
                      <w:sz w:val="20"/>
                      <w:szCs w:val="20"/>
                      <w:lang w:val="en-GB"/>
                    </w:rPr>
                    <w:t> </w:t>
                  </w:r>
                </w:p>
              </w:tc>
              <w:tc>
                <w:tcPr>
                  <w:tcW w:w="3884" w:type="dxa"/>
                  <w:tcBorders>
                    <w:top w:val="nil"/>
                    <w:left w:val="nil"/>
                    <w:bottom w:val="single" w:color="auto" w:sz="4" w:space="0"/>
                    <w:right w:val="single" w:color="auto" w:sz="6" w:space="0"/>
                  </w:tcBorders>
                  <w:shd w:val="clear" w:color="auto" w:fill="auto"/>
                  <w:vAlign w:val="bottom"/>
                </w:tcPr>
                <w:p>
                  <w:pPr>
                    <w:spacing w:after="120"/>
                    <w:jc w:val="both"/>
                    <w:rPr>
                      <w:sz w:val="20"/>
                      <w:szCs w:val="20"/>
                      <w:lang w:val="en-GB"/>
                    </w:rPr>
                  </w:pPr>
                  <w:r>
                    <w:rPr>
                      <w:sz w:val="20"/>
                      <w:szCs w:val="20"/>
                      <w:u w:val="single"/>
                      <w:lang w:val="en-GB"/>
                    </w:rPr>
                    <w:t>0.5</w:t>
                  </w:r>
                  <w:r>
                    <w:rPr>
                      <w:sz w:val="20"/>
                      <w:szCs w:val="20"/>
                      <w:lang w:val="en-GB"/>
                    </w:rPr>
                    <w:t> </w:t>
                  </w:r>
                </w:p>
              </w:tc>
              <w:tc>
                <w:tcPr>
                  <w:tcW w:w="2349" w:type="dxa"/>
                  <w:tcBorders>
                    <w:top w:val="nil"/>
                    <w:left w:val="nil"/>
                    <w:bottom w:val="single" w:color="auto" w:sz="4" w:space="0"/>
                    <w:right w:val="single" w:color="auto" w:sz="6" w:space="0"/>
                  </w:tcBorders>
                  <w:shd w:val="clear" w:color="auto" w:fill="auto"/>
                  <w:vAlign w:val="bottom"/>
                </w:tcPr>
                <w:p>
                  <w:pPr>
                    <w:spacing w:after="120"/>
                    <w:jc w:val="both"/>
                    <w:rPr>
                      <w:sz w:val="20"/>
                      <w:szCs w:val="20"/>
                      <w:lang w:val="en-GB"/>
                    </w:rPr>
                  </w:pPr>
                  <w:r>
                    <w:rPr>
                      <w:sz w:val="20"/>
                      <w:szCs w:val="20"/>
                      <w:u w:val="single"/>
                      <w:lang w:val="en-GB"/>
                    </w:rPr>
                    <w:t>160</w:t>
                  </w:r>
                  <w:r>
                    <w:rPr>
                      <w:sz w:val="20"/>
                      <w:szCs w:val="20"/>
                      <w:lang w:val="en-GB"/>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43" w:hRule="atLeast"/>
                <w:jc w:val="center"/>
              </w:trPr>
              <w:tc>
                <w:tcPr>
                  <w:tcW w:w="1985" w:type="dxa"/>
                  <w:tcBorders>
                    <w:top w:val="single" w:color="auto" w:sz="4" w:space="0"/>
                    <w:left w:val="single" w:color="auto" w:sz="4" w:space="0"/>
                    <w:right w:val="single" w:color="auto" w:sz="4" w:space="0"/>
                  </w:tcBorders>
                  <w:shd w:val="clear" w:color="auto" w:fill="auto"/>
                  <w:vAlign w:val="bottom"/>
                </w:tcPr>
                <w:p>
                  <w:pPr>
                    <w:spacing w:after="120"/>
                    <w:jc w:val="both"/>
                    <w:rPr>
                      <w:sz w:val="20"/>
                      <w:szCs w:val="20"/>
                      <w:u w:val="single"/>
                      <w:lang w:val="en-GB"/>
                    </w:rPr>
                  </w:pPr>
                  <w:r>
                    <w:rPr>
                      <w:sz w:val="20"/>
                      <w:szCs w:val="20"/>
                      <w:u w:val="single"/>
                      <w:lang w:val="en-GB"/>
                    </w:rPr>
                    <w:t>UL MGP #3</w:t>
                  </w:r>
                </w:p>
              </w:tc>
              <w:tc>
                <w:tcPr>
                  <w:tcW w:w="3884" w:type="dxa"/>
                  <w:tcBorders>
                    <w:top w:val="single" w:color="auto" w:sz="4" w:space="0"/>
                    <w:left w:val="single" w:color="auto" w:sz="4" w:space="0"/>
                    <w:right w:val="single" w:color="auto" w:sz="4" w:space="0"/>
                  </w:tcBorders>
                  <w:shd w:val="clear" w:color="auto" w:fill="auto"/>
                  <w:vAlign w:val="bottom"/>
                </w:tcPr>
                <w:p>
                  <w:pPr>
                    <w:spacing w:after="120"/>
                    <w:jc w:val="both"/>
                    <w:rPr>
                      <w:sz w:val="20"/>
                      <w:szCs w:val="20"/>
                      <w:u w:val="single"/>
                      <w:lang w:val="en-GB"/>
                    </w:rPr>
                  </w:pPr>
                  <w:r>
                    <w:rPr>
                      <w:sz w:val="20"/>
                      <w:szCs w:val="20"/>
                      <w:u w:val="single"/>
                      <w:lang w:val="en-GB"/>
                    </w:rPr>
                    <w:t>0.125 when SCS of active UL BWP =120kHz</w:t>
                  </w:r>
                </w:p>
                <w:p>
                  <w:pPr>
                    <w:spacing w:after="120"/>
                    <w:jc w:val="both"/>
                    <w:rPr>
                      <w:sz w:val="20"/>
                      <w:szCs w:val="20"/>
                      <w:u w:val="single"/>
                      <w:lang w:val="en-GB"/>
                    </w:rPr>
                  </w:pPr>
                  <w:r>
                    <w:rPr>
                      <w:sz w:val="20"/>
                      <w:szCs w:val="20"/>
                      <w:u w:val="single"/>
                      <w:lang w:val="en-GB"/>
                    </w:rPr>
                    <w:t>0.25 when SCS of active UL BWP =60kHz</w:t>
                  </w:r>
                </w:p>
              </w:tc>
              <w:tc>
                <w:tcPr>
                  <w:tcW w:w="2349" w:type="dxa"/>
                  <w:tcBorders>
                    <w:top w:val="single" w:color="auto" w:sz="4" w:space="0"/>
                    <w:left w:val="single" w:color="auto" w:sz="4" w:space="0"/>
                    <w:right w:val="single" w:color="auto" w:sz="4" w:space="0"/>
                  </w:tcBorders>
                  <w:shd w:val="clear" w:color="auto" w:fill="auto"/>
                  <w:vAlign w:val="bottom"/>
                </w:tcPr>
                <w:p>
                  <w:pPr>
                    <w:spacing w:after="120"/>
                    <w:jc w:val="both"/>
                    <w:rPr>
                      <w:sz w:val="20"/>
                      <w:szCs w:val="20"/>
                      <w:u w:val="single"/>
                      <w:lang w:val="en-GB"/>
                    </w:rPr>
                  </w:pPr>
                  <w:r>
                    <w:rPr>
                      <w:sz w:val="20"/>
                      <w:szCs w:val="20"/>
                      <w:u w:val="single"/>
                      <w:lang w:val="en-GB"/>
                    </w:rPr>
                    <w:t>5</w:t>
                  </w:r>
                </w:p>
              </w:tc>
            </w:tr>
          </w:tbl>
          <w:p>
            <w:pPr>
              <w:spacing w:after="120"/>
              <w:jc w:val="both"/>
              <w:rPr>
                <w:sz w:val="20"/>
                <w:szCs w:val="20"/>
                <w:lang w:val="en-GB"/>
              </w:rPr>
            </w:pPr>
            <w:r>
              <w:rPr>
                <w:sz w:val="20"/>
                <w:szCs w:val="20"/>
                <w:lang w:val="en-GB"/>
              </w:rPr>
              <w:t xml:space="preserve"> </w:t>
            </w:r>
          </w:p>
          <w:p>
            <w:pPr>
              <w:spacing w:after="120"/>
              <w:jc w:val="both"/>
              <w:rPr>
                <w:i/>
                <w:iCs/>
                <w:sz w:val="20"/>
                <w:szCs w:val="20"/>
                <w:u w:val="single"/>
              </w:rPr>
            </w:pPr>
            <w:r>
              <w:rPr>
                <w:i/>
                <w:iCs/>
                <w:sz w:val="20"/>
                <w:szCs w:val="20"/>
                <w:highlight w:val="green"/>
                <w:u w:val="single"/>
              </w:rPr>
              <w:t>Agreement:</w:t>
            </w:r>
            <w:r>
              <w:rPr>
                <w:i/>
                <w:iCs/>
                <w:sz w:val="20"/>
                <w:szCs w:val="20"/>
                <w:u w:val="single"/>
              </w:rPr>
              <w:t xml:space="preserve"> </w:t>
            </w:r>
          </w:p>
          <w:p>
            <w:pPr>
              <w:rPr>
                <w:sz w:val="20"/>
                <w:szCs w:val="20"/>
              </w:rPr>
            </w:pPr>
            <w:r>
              <w:rPr>
                <w:sz w:val="20"/>
                <w:szCs w:val="20"/>
              </w:rPr>
              <w:t xml:space="preserve">Regarding Procedures to be prioritized over UL gap, </w:t>
            </w:r>
          </w:p>
          <w:p>
            <w:pPr>
              <w:numPr>
                <w:ilvl w:val="0"/>
                <w:numId w:val="4"/>
              </w:numPr>
              <w:rPr>
                <w:sz w:val="20"/>
                <w:szCs w:val="20"/>
              </w:rPr>
            </w:pPr>
            <w:r>
              <w:rPr>
                <w:sz w:val="20"/>
                <w:szCs w:val="20"/>
              </w:rPr>
              <w:t>All the RACH procedure should be prioritized</w:t>
            </w:r>
          </w:p>
          <w:p>
            <w:pPr>
              <w:numPr>
                <w:ilvl w:val="0"/>
                <w:numId w:val="4"/>
              </w:numPr>
              <w:rPr>
                <w:sz w:val="20"/>
                <w:szCs w:val="20"/>
              </w:rPr>
            </w:pPr>
            <w:r>
              <w:rPr>
                <w:sz w:val="20"/>
                <w:szCs w:val="20"/>
              </w:rPr>
              <w:t>FFS for other procedure</w:t>
            </w:r>
          </w:p>
          <w:p>
            <w:pPr>
              <w:rPr>
                <w:sz w:val="20"/>
                <w:szCs w:val="20"/>
              </w:rPr>
            </w:pPr>
          </w:p>
          <w:p>
            <w:pPr>
              <w:pStyle w:val="26"/>
              <w:numPr>
                <w:ilvl w:val="0"/>
                <w:numId w:val="0"/>
              </w:numPr>
              <w:rPr>
                <w:sz w:val="20"/>
                <w:szCs w:val="20"/>
                <w:highlight w:val="yellow"/>
              </w:rPr>
            </w:pPr>
            <w:r>
              <w:rPr>
                <w:sz w:val="20"/>
                <w:szCs w:val="20"/>
              </w:rPr>
              <w:t xml:space="preserve">Optionality of Gap configurations: </w:t>
            </w:r>
          </w:p>
          <w:p>
            <w:pPr>
              <w:rPr>
                <w:sz w:val="20"/>
                <w:szCs w:val="20"/>
              </w:rPr>
            </w:pPr>
            <w:r>
              <w:rPr>
                <w:sz w:val="20"/>
                <w:szCs w:val="20"/>
                <w:highlight w:val="yellow"/>
              </w:rPr>
              <w:t xml:space="preserve">Agreement: </w:t>
            </w:r>
            <w:r>
              <w:rPr>
                <w:sz w:val="20"/>
                <w:szCs w:val="20"/>
              </w:rPr>
              <w:t xml:space="preserve">All UL gap configurations are defined as optional. </w:t>
            </w:r>
          </w:p>
          <w:p>
            <w:pPr>
              <w:rPr>
                <w:sz w:val="20"/>
                <w:szCs w:val="20"/>
                <w:highlight w:val="yellow"/>
              </w:rPr>
            </w:pPr>
          </w:p>
          <w:p>
            <w:pPr>
              <w:pStyle w:val="26"/>
              <w:numPr>
                <w:ilvl w:val="0"/>
                <w:numId w:val="0"/>
              </w:numPr>
              <w:rPr>
                <w:sz w:val="20"/>
                <w:szCs w:val="20"/>
                <w:highlight w:val="yellow"/>
              </w:rPr>
            </w:pPr>
            <w:r>
              <w:rPr>
                <w:sz w:val="20"/>
                <w:szCs w:val="20"/>
              </w:rPr>
              <w:t xml:space="preserve">MAC-CE based activation and deactivation: </w:t>
            </w:r>
          </w:p>
          <w:p>
            <w:pPr>
              <w:rPr>
                <w:sz w:val="20"/>
                <w:szCs w:val="20"/>
              </w:rPr>
            </w:pPr>
            <w:bookmarkStart w:id="1" w:name="OLE_LINK5"/>
            <w:r>
              <w:rPr>
                <w:sz w:val="20"/>
                <w:szCs w:val="20"/>
                <w:highlight w:val="yellow"/>
              </w:rPr>
              <w:t>Agreement:</w:t>
            </w:r>
            <w:r>
              <w:rPr>
                <w:sz w:val="20"/>
                <w:szCs w:val="20"/>
              </w:rPr>
              <w:t xml:space="preserve"> MAC CE based activation/de-activation is not supported. </w:t>
            </w:r>
          </w:p>
          <w:bookmarkEnd w:id="1"/>
          <w:p>
            <w:pPr>
              <w:ind w:left="284" w:firstLine="284"/>
              <w:rPr>
                <w:sz w:val="20"/>
                <w:szCs w:val="20"/>
              </w:rPr>
            </w:pPr>
          </w:p>
          <w:p>
            <w:pPr>
              <w:pStyle w:val="26"/>
              <w:numPr>
                <w:ilvl w:val="0"/>
                <w:numId w:val="0"/>
              </w:numPr>
              <w:rPr>
                <w:sz w:val="20"/>
                <w:szCs w:val="20"/>
              </w:rPr>
            </w:pPr>
            <w:r>
              <w:rPr>
                <w:sz w:val="20"/>
                <w:szCs w:val="20"/>
              </w:rPr>
              <w:t>UE indication to NW on “need for UL gap” and “no need for UL gap”</w:t>
            </w:r>
          </w:p>
          <w:p>
            <w:pPr>
              <w:rPr>
                <w:sz w:val="20"/>
                <w:szCs w:val="20"/>
              </w:rPr>
            </w:pPr>
            <w:r>
              <w:rPr>
                <w:sz w:val="20"/>
                <w:szCs w:val="20"/>
                <w:highlight w:val="yellow"/>
              </w:rPr>
              <w:t>Agreement:</w:t>
            </w:r>
            <w:r>
              <w:rPr>
                <w:sz w:val="20"/>
                <w:szCs w:val="20"/>
              </w:rPr>
              <w:t xml:space="preserve"> Enable explicit indication from UE to NW on “need for UL gap” and “no need for UL gap”</w:t>
            </w:r>
          </w:p>
          <w:p>
            <w:pPr>
              <w:pStyle w:val="26"/>
              <w:ind w:left="0" w:leftChars="0" w:firstLine="0" w:firstLineChars="0"/>
              <w:rPr>
                <w:sz w:val="20"/>
                <w:szCs w:val="20"/>
              </w:rPr>
            </w:pPr>
          </w:p>
          <w:p>
            <w:pPr>
              <w:pStyle w:val="26"/>
              <w:numPr>
                <w:ilvl w:val="0"/>
                <w:numId w:val="0"/>
              </w:numPr>
              <w:rPr>
                <w:sz w:val="20"/>
                <w:szCs w:val="20"/>
              </w:rPr>
            </w:pPr>
            <w:r>
              <w:rPr>
                <w:sz w:val="20"/>
                <w:szCs w:val="20"/>
              </w:rPr>
              <w:t xml:space="preserve">Procedure to be prioritized over UL gap: </w:t>
            </w:r>
          </w:p>
          <w:p>
            <w:pPr>
              <w:rPr>
                <w:sz w:val="20"/>
                <w:szCs w:val="20"/>
              </w:rPr>
            </w:pPr>
            <w:r>
              <w:rPr>
                <w:sz w:val="20"/>
                <w:szCs w:val="20"/>
                <w:highlight w:val="yellow"/>
              </w:rPr>
              <w:t>Agreement:</w:t>
            </w:r>
            <w:r>
              <w:rPr>
                <w:sz w:val="20"/>
                <w:szCs w:val="20"/>
              </w:rPr>
              <w:t xml:space="preserve"> Continue discussion in the next meeting. </w:t>
            </w:r>
          </w:p>
          <w:p>
            <w:pPr>
              <w:pStyle w:val="26"/>
              <w:ind w:left="284"/>
              <w:rPr>
                <w:sz w:val="20"/>
                <w:szCs w:val="20"/>
              </w:rPr>
            </w:pPr>
          </w:p>
          <w:p>
            <w:pPr>
              <w:pStyle w:val="26"/>
              <w:numPr>
                <w:ilvl w:val="0"/>
                <w:numId w:val="0"/>
              </w:numPr>
              <w:rPr>
                <w:sz w:val="20"/>
                <w:szCs w:val="20"/>
              </w:rPr>
            </w:pPr>
            <w:r>
              <w:rPr>
                <w:sz w:val="20"/>
                <w:szCs w:val="20"/>
              </w:rPr>
              <w:t xml:space="preserve">RRM requirements to be introduced: To be updated based on 2nd round discussion.  </w:t>
            </w:r>
          </w:p>
          <w:p>
            <w:pPr>
              <w:rPr>
                <w:sz w:val="20"/>
                <w:szCs w:val="20"/>
              </w:rPr>
            </w:pPr>
            <w:r>
              <w:rPr>
                <w:sz w:val="20"/>
                <w:szCs w:val="20"/>
                <w:highlight w:val="yellow"/>
              </w:rPr>
              <w:t>Agreement:</w:t>
            </w:r>
            <w:r>
              <w:rPr>
                <w:sz w:val="20"/>
                <w:szCs w:val="20"/>
              </w:rPr>
              <w:t xml:space="preserve"> No activation/de-activation delay requirement or interruption requirement will be defined unless significant issue identified in next meeting.</w:t>
            </w:r>
          </w:p>
          <w:p>
            <w:pPr>
              <w:rPr>
                <w:sz w:val="20"/>
                <w:szCs w:val="20"/>
              </w:rPr>
            </w:pPr>
          </w:p>
          <w:p>
            <w:pPr>
              <w:pStyle w:val="26"/>
              <w:numPr>
                <w:ilvl w:val="0"/>
                <w:numId w:val="0"/>
              </w:numPr>
              <w:rPr>
                <w:sz w:val="20"/>
                <w:szCs w:val="20"/>
              </w:rPr>
            </w:pPr>
            <w:r>
              <w:rPr>
                <w:sz w:val="20"/>
                <w:szCs w:val="20"/>
              </w:rPr>
              <w:t>UL Gap Mapping to Physical UL Slots</w:t>
            </w:r>
          </w:p>
          <w:p>
            <w:pPr>
              <w:numPr>
                <w:ilvl w:val="0"/>
                <w:numId w:val="0"/>
              </w:numPr>
              <w:rPr>
                <w:rFonts w:hint="default" w:ascii="Times New Roman" w:hAnsi="Times New Roman" w:cs="Times New Roman"/>
                <w:sz w:val="20"/>
                <w:szCs w:val="20"/>
                <w:lang w:val="en-US" w:eastAsia="zh-CN"/>
              </w:rPr>
            </w:pPr>
            <w:r>
              <w:rPr>
                <w:rFonts w:ascii="Times New Roman" w:hAnsi="Times New Roman" w:cs="Times New Roman"/>
                <w:sz w:val="20"/>
                <w:szCs w:val="20"/>
                <w:highlight w:val="yellow"/>
              </w:rPr>
              <w:t>Agreement:</w:t>
            </w:r>
            <w:r>
              <w:rPr>
                <w:rFonts w:ascii="Times New Roman" w:hAnsi="Times New Roman" w:cs="Times New Roman"/>
                <w:sz w:val="20"/>
                <w:szCs w:val="20"/>
              </w:rPr>
              <w:t xml:space="preserve"> Continue discussion in the next meeting.</w:t>
            </w:r>
          </w:p>
        </w:tc>
      </w:tr>
    </w:tbl>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Based on the progress during 101bis e-meeting, some further RRM aspect discussion are provided, focus on the following issues. </w:t>
      </w:r>
    </w:p>
    <w:p>
      <w:pPr>
        <w:pStyle w:val="3"/>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The impact on measurement gap configuration and requirement due to UL gaps</w:t>
      </w:r>
    </w:p>
    <w:p>
      <w:pPr>
        <w:pStyle w:val="3"/>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The scheduling restriction caused by UL gaps</w:t>
      </w:r>
    </w:p>
    <w:p>
      <w:pPr>
        <w:pStyle w:val="3"/>
        <w:numPr>
          <w:ilvl w:val="0"/>
          <w:numId w:val="5"/>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bookmarkStart w:id="2" w:name="OLE_LINK1"/>
      <w:r>
        <w:rPr>
          <w:rFonts w:hint="default" w:eastAsia="宋体"/>
          <w:color w:val="auto"/>
          <w:sz w:val="21"/>
          <w:szCs w:val="21"/>
          <w:lang w:val="en-US" w:eastAsia="zh-CN"/>
        </w:rPr>
        <w:t>UL Gap Mapping to Physical UL Slots</w:t>
      </w:r>
    </w:p>
    <w:bookmarkEnd w:id="2"/>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1</w:t>
      </w:r>
      <w:r>
        <w:rPr>
          <w:rFonts w:hint="eastAsia" w:ascii="Helvetica" w:hAnsi="Helvetica" w:eastAsia="宋体" w:cs="Times New Roman"/>
          <w:b/>
          <w:bCs/>
          <w:iCs w:val="0"/>
          <w:color w:val="auto"/>
          <w:kern w:val="32"/>
          <w:sz w:val="28"/>
          <w:szCs w:val="32"/>
          <w:lang w:val="en-US" w:eastAsia="zh-CN" w:bidi="ar-SA"/>
        </w:rPr>
        <w:t xml:space="preserve"> The impact on measurement gap configuration and requirement due to UL gaps</w:t>
      </w:r>
    </w:p>
    <w:p>
      <w:pPr>
        <w:pStyle w:val="3"/>
        <w:rPr>
          <w:rFonts w:hint="default"/>
          <w:lang w:val="en-US" w:eastAsia="zh-CN"/>
        </w:rPr>
      </w:pPr>
      <w:r>
        <w:rPr>
          <w:rFonts w:hint="eastAsia"/>
          <w:lang w:val="en-US" w:eastAsia="zh-CN"/>
        </w:rPr>
        <w:t xml:space="preserve">This issue is still FFS during 101 meeting. So the discussion should continue to address this issue. Firstly, the configuration of UL gap and measurement gap should be independent. UL gap can only be configured in the </w:t>
      </w:r>
      <w:r>
        <w:rPr>
          <w:rFonts w:hint="default"/>
          <w:lang w:val="en-US" w:eastAsia="zh-CN"/>
        </w:rPr>
        <w:t>‘</w:t>
      </w:r>
      <w:r>
        <w:rPr>
          <w:rFonts w:hint="eastAsia"/>
          <w:lang w:val="en-US" w:eastAsia="zh-CN"/>
        </w:rPr>
        <w:t>UL</w:t>
      </w:r>
      <w:r>
        <w:rPr>
          <w:rFonts w:hint="default"/>
          <w:lang w:val="en-US" w:eastAsia="zh-CN"/>
        </w:rPr>
        <w:t>’</w:t>
      </w:r>
      <w:r>
        <w:rPr>
          <w:rFonts w:hint="eastAsia"/>
          <w:lang w:val="en-US" w:eastAsia="zh-CN"/>
        </w:rPr>
        <w:t xml:space="preserve"> slot, however the measurement gap can be configured in each type of slot, of course possible in </w:t>
      </w:r>
      <w:r>
        <w:rPr>
          <w:rFonts w:hint="default"/>
          <w:lang w:val="en-US" w:eastAsia="zh-CN"/>
        </w:rPr>
        <w:t>‘</w:t>
      </w:r>
      <w:r>
        <w:rPr>
          <w:rFonts w:hint="eastAsia"/>
          <w:lang w:val="en-US" w:eastAsia="zh-CN"/>
        </w:rPr>
        <w:t>UL</w:t>
      </w:r>
      <w:r>
        <w:rPr>
          <w:rFonts w:hint="default"/>
          <w:lang w:val="en-US" w:eastAsia="zh-CN"/>
        </w:rPr>
        <w:t>’</w:t>
      </w:r>
      <w:r>
        <w:rPr>
          <w:rFonts w:hint="eastAsia"/>
          <w:lang w:val="en-US" w:eastAsia="zh-CN"/>
        </w:rPr>
        <w:t xml:space="preserve"> slot. No matter with UL gap configuration or without UL gap configuration, the configuration of measurement gap should not be impacted.</w:t>
      </w:r>
    </w:p>
    <w:p>
      <w:pPr>
        <w:pStyle w:val="3"/>
        <w:rPr>
          <w:rFonts w:hint="eastAsia"/>
          <w:lang w:val="en-US" w:eastAsia="zh-CN"/>
        </w:rPr>
      </w:pPr>
      <w:r>
        <w:rPr>
          <w:rFonts w:hint="eastAsia"/>
          <w:lang w:val="en-US" w:eastAsia="zh-CN"/>
        </w:rPr>
        <w:t>If the collision between UL gap and measurement gap occurs, it is up to UE implementation whether executing both BPS and RRM measurement, or choose one of them. We believe which rely on UE capability and the BPS realization. So no need to specify. But it should be noted that the legacy RRM requirements related with measurement gap such as measurement period should not be influenced or scaled. The introduce of FR2 UL gap should be highly attractive and cannot affect the existing functions or requirements.</w:t>
      </w:r>
    </w:p>
    <w:p>
      <w:pPr>
        <w:pStyle w:val="3"/>
        <w:tabs>
          <w:tab w:val="left" w:pos="226"/>
          <w:tab w:val="left" w:pos="284"/>
          <w:tab w:val="left" w:pos="5103"/>
        </w:tabs>
        <w:snapToGrid w:val="0"/>
        <w:spacing w:before="156" w:beforeLines="50"/>
        <w:rPr>
          <w:rFonts w:hint="default" w:eastAsia="宋体"/>
          <w:color w:val="auto"/>
          <w:sz w:val="21"/>
          <w:szCs w:val="21"/>
          <w:highlight w:val="none"/>
          <w:lang w:val="en-US" w:eastAsia="zh-CN"/>
        </w:rPr>
      </w:pPr>
      <w:r>
        <w:rPr>
          <w:rFonts w:hint="eastAsia" w:eastAsia="宋体" w:cs="Times New Roman"/>
          <w:b/>
          <w:bCs/>
          <w:color w:val="auto"/>
          <w:sz w:val="21"/>
          <w:szCs w:val="21"/>
          <w:highlight w:val="none"/>
          <w:lang w:val="en-US" w:eastAsia="zh-CN" w:bidi="ar-SA"/>
        </w:rPr>
        <w:t>Proposal 1: The configuration of UL gaps should not affect the configuration of measurement gap and the corresponding requirem</w:t>
      </w:r>
      <w:bookmarkStart w:id="4" w:name="_GoBack"/>
      <w:bookmarkEnd w:id="4"/>
      <w:r>
        <w:rPr>
          <w:rFonts w:hint="eastAsia" w:eastAsia="宋体" w:cs="Times New Roman"/>
          <w:b/>
          <w:bCs/>
          <w:color w:val="auto"/>
          <w:sz w:val="21"/>
          <w:szCs w:val="21"/>
          <w:highlight w:val="none"/>
          <w:lang w:val="en-US" w:eastAsia="zh-CN" w:bidi="ar-SA"/>
        </w:rPr>
        <w:t>ents.</w:t>
      </w:r>
    </w:p>
    <w:p>
      <w:pPr>
        <w:pStyle w:val="4"/>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The scheduling restriction caused by UL gaps</w:t>
      </w:r>
    </w:p>
    <w:p>
      <w:pPr>
        <w:pStyle w:val="3"/>
        <w:rPr>
          <w:rFonts w:hint="eastAsia"/>
          <w:lang w:val="en-US" w:eastAsia="zh-CN"/>
        </w:rPr>
      </w:pPr>
      <w:r>
        <w:rPr>
          <w:rFonts w:hint="eastAsia"/>
          <w:lang w:val="en-US" w:eastAsia="zh-CN"/>
        </w:rPr>
        <w:t xml:space="preserve">During UL gaps, all deprioritized UL transmissions are not expected by the UE. Such limitation should effect only one serving cell, multiple serving cells in the same band, multiple serving cells in the same FR or each serving cell the UE operating, which should be determined. Only addressing this question, the UL gap can be applicable not only in single cell case, but also in CA or DC case. </w:t>
      </w:r>
    </w:p>
    <w:p>
      <w:pPr>
        <w:pStyle w:val="3"/>
        <w:rPr>
          <w:rFonts w:hint="eastAsia"/>
          <w:lang w:val="en-US" w:eastAsia="zh-CN"/>
        </w:rPr>
      </w:pPr>
      <w:r>
        <w:rPr>
          <w:rFonts w:hint="eastAsia"/>
          <w:lang w:val="en-US" w:eastAsia="zh-CN"/>
        </w:rPr>
        <w:t xml:space="preserve">Since UL gap is used for BPS detection in FR2, and UE would emit radar signal for the sake of proximity detection, a general understanding is that only the UL scheduling of serving cells of FR2 are restricted. The serving cells of FR1 would not be effected by UL gaps. So if not introduce any additional UE capability, the default range of impact on UL scheduling constraint is all serving cells of FR2. </w:t>
      </w:r>
    </w:p>
    <w:p>
      <w:pPr>
        <w:pStyle w:val="3"/>
        <w:rPr>
          <w:rFonts w:hint="eastAsia"/>
          <w:lang w:val="en-US" w:eastAsia="zh-CN"/>
        </w:rPr>
      </w:pPr>
      <w:r>
        <w:rPr>
          <w:rFonts w:hint="eastAsia"/>
          <w:lang w:val="en-US" w:eastAsia="zh-CN"/>
        </w:rPr>
        <w:t>However, It has been approved that a UL gap UE capability should be introduced and such UE capability is defined per band level due to not all bands in FR2 has the MPE issue. So whether the scheduling restriction caused by UL gaps only applies to the bands capable of UL gap, which should be clarified. In our opinion, we believe it is reasonable that the scheduling restriction is only applicable to the bands capable of UL gap. For the other bands in FR2 not capable of UL gap, i.e. the MPE issue does not occur at such band, correspondingly the UL transmissions would not be affected by the performing of UL gap, so no need scheduling restriction at this band even it is a FR2 band.</w:t>
      </w:r>
    </w:p>
    <w:p>
      <w:pPr>
        <w:bidi w:val="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2: Scheduling restriction due to UL gap only occurs at the bands capable of UL gap in FR2, For other FR2 bands not capable of UL gap, the UL transmissions should not be affected by UL gap.</w:t>
      </w:r>
    </w:p>
    <w:p>
      <w:pPr>
        <w:pStyle w:val="4"/>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UL Gap Mapping to Physical UL Slots</w:t>
      </w:r>
    </w:p>
    <w:p>
      <w:pPr>
        <w:pStyle w:val="3"/>
        <w:rPr>
          <w:rFonts w:hint="default"/>
          <w:lang w:val="en-US" w:eastAsia="zh-CN"/>
        </w:rPr>
      </w:pPr>
      <w:r>
        <w:rPr>
          <w:rFonts w:hint="eastAsia"/>
          <w:lang w:val="en-US" w:eastAsia="zh-CN"/>
        </w:rPr>
        <w:t xml:space="preserve">This issue was proposed during 101bis meeting, the motivation of discussion about this issue is to determine whether an additional clustered UL gap mapping as shown in Mapping pattern 1 of the following figure was supported or not. </w:t>
      </w:r>
    </w:p>
    <w:p>
      <w:pPr>
        <w:pStyle w:val="3"/>
        <w:jc w:val="center"/>
        <w:rPr>
          <w:rFonts w:eastAsia="游明朝"/>
          <w:lang w:val="en-US" w:eastAsia="ja-JP"/>
        </w:rPr>
      </w:pPr>
      <w:r>
        <w:rPr>
          <w:rFonts w:eastAsia="游明朝"/>
          <w:lang w:val="en-US" w:eastAsia="ja-JP"/>
        </w:rPr>
        <w:drawing>
          <wp:inline distT="0" distB="0" distL="0" distR="0">
            <wp:extent cx="6432550" cy="2474595"/>
            <wp:effectExtent l="0" t="0" r="13970"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511489" cy="2505097"/>
                    </a:xfrm>
                    <a:prstGeom prst="rect">
                      <a:avLst/>
                    </a:prstGeom>
                    <a:noFill/>
                  </pic:spPr>
                </pic:pic>
              </a:graphicData>
            </a:graphic>
          </wp:inline>
        </w:drawing>
      </w:r>
    </w:p>
    <w:p>
      <w:pPr>
        <w:pStyle w:val="3"/>
        <w:rPr>
          <w:rFonts w:hint="default"/>
          <w:lang w:val="en-US" w:eastAsia="zh-CN"/>
        </w:rPr>
      </w:pPr>
      <w:r>
        <w:rPr>
          <w:rFonts w:hint="eastAsia"/>
          <w:lang w:val="en-US" w:eastAsia="zh-CN"/>
        </w:rPr>
        <w:t xml:space="preserve">We concern the agreed UL gap pattern configuration can not support such clustered UL gap mapping for the case of multiple continuous UL slots existing during one TDD DL-UL period. For example if the TDD DL-UL pattern is </w:t>
      </w:r>
      <w:r>
        <w:rPr>
          <w:rFonts w:hint="default"/>
          <w:lang w:val="en-US" w:eastAsia="zh-CN"/>
        </w:rPr>
        <w:t>‘</w:t>
      </w:r>
      <w:r>
        <w:rPr>
          <w:rFonts w:hint="eastAsia"/>
          <w:lang w:val="en-US" w:eastAsia="zh-CN"/>
        </w:rPr>
        <w:t>DDDDDDDSUU</w:t>
      </w:r>
      <w:r>
        <w:rPr>
          <w:rFonts w:hint="default"/>
          <w:lang w:val="en-US" w:eastAsia="zh-CN"/>
        </w:rPr>
        <w:t>’</w:t>
      </w:r>
      <w:r>
        <w:rPr>
          <w:rFonts w:hint="eastAsia"/>
          <w:lang w:val="en-US" w:eastAsia="zh-CN"/>
        </w:rPr>
        <w:t xml:space="preserve">, for the clustered UL gap mapping, how to determine the UL gap should be clustered with several </w:t>
      </w:r>
      <w:r>
        <w:rPr>
          <w:rFonts w:hint="default"/>
          <w:lang w:val="en-US" w:eastAsia="zh-CN"/>
        </w:rPr>
        <w:t>‘</w:t>
      </w:r>
      <w:r>
        <w:rPr>
          <w:rFonts w:hint="eastAsia"/>
          <w:lang w:val="en-US" w:eastAsia="zh-CN"/>
        </w:rPr>
        <w:t>U</w:t>
      </w:r>
      <w:r>
        <w:rPr>
          <w:rFonts w:hint="default"/>
          <w:lang w:val="en-US" w:eastAsia="zh-CN"/>
        </w:rPr>
        <w:t>’</w:t>
      </w:r>
      <w:r>
        <w:rPr>
          <w:rFonts w:hint="eastAsia"/>
          <w:lang w:val="en-US" w:eastAsia="zh-CN"/>
        </w:rPr>
        <w:t xml:space="preserve"> slots or with several </w:t>
      </w:r>
      <w:r>
        <w:rPr>
          <w:rFonts w:hint="default"/>
          <w:lang w:val="en-US" w:eastAsia="zh-CN"/>
        </w:rPr>
        <w:t>‘</w:t>
      </w:r>
      <w:r>
        <w:rPr>
          <w:rFonts w:hint="eastAsia"/>
          <w:lang w:val="en-US" w:eastAsia="zh-CN"/>
        </w:rPr>
        <w:t>UU</w:t>
      </w:r>
      <w:r>
        <w:rPr>
          <w:rFonts w:hint="default"/>
          <w:lang w:val="en-US" w:eastAsia="zh-CN"/>
        </w:rPr>
        <w:t>’</w:t>
      </w:r>
      <w:r>
        <w:rPr>
          <w:rFonts w:hint="eastAsia"/>
          <w:lang w:val="en-US" w:eastAsia="zh-CN"/>
        </w:rPr>
        <w:t xml:space="preserve"> slots? So except for the flag that whether clustered of not should be indicated by NW to UE, further more, the detailed clustered mapping method, e.g the duration of each occasion within a cluster should also be indicated to UE. Therefore, RAN2 needs to provide some new ULMG configuration signaling design different from legacy MG configuration signaling. Considering the urgent timeline of Rel-17 WI, we believe it is not realistic. So if such clustered UL gap mapping can benefit the BPS, we can consider it in the next release.</w:t>
      </w:r>
    </w:p>
    <w:p>
      <w:pPr>
        <w:bidi w:val="0"/>
        <w:rPr>
          <w:rFonts w:hint="default" w:eastAsia="游明朝"/>
          <w:lang w:val="en-US" w:eastAsia="zh-CN"/>
        </w:rPr>
      </w:pPr>
      <w:bookmarkStart w:id="3" w:name="OLE_LINK2"/>
      <w:r>
        <w:rPr>
          <w:rFonts w:hint="eastAsia" w:eastAsia="宋体" w:cs="Times New Roman"/>
          <w:b/>
          <w:bCs/>
          <w:color w:val="auto"/>
          <w:sz w:val="21"/>
          <w:szCs w:val="21"/>
          <w:highlight w:val="none"/>
          <w:lang w:val="en-US" w:eastAsia="zh-CN" w:bidi="ar-SA"/>
        </w:rPr>
        <w:t>Proposal 3: Considering the urgent timeline of Rel-17 WI, if such clustered UL gap mapping can benefit the BPS, we can consider it in the next release.</w:t>
      </w:r>
    </w:p>
    <w:bookmarkEnd w:id="3"/>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RRM impact of UL gap Tx power management use case</w:t>
      </w:r>
      <w:r>
        <w:rPr>
          <w:rFonts w:eastAsia="宋体"/>
          <w:bCs/>
          <w:color w:val="auto"/>
          <w:sz w:val="21"/>
          <w:szCs w:val="21"/>
          <w:lang w:val="en-GB" w:eastAsia="zh-CN"/>
        </w:rPr>
        <w:t>:</w:t>
      </w:r>
    </w:p>
    <w:p>
      <w:pPr>
        <w:pStyle w:val="3"/>
        <w:tabs>
          <w:tab w:val="left" w:pos="226"/>
          <w:tab w:val="left" w:pos="284"/>
          <w:tab w:val="left" w:pos="5103"/>
        </w:tabs>
        <w:snapToGrid w:val="0"/>
        <w:spacing w:before="156" w:beforeLines="5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 The configuration of UL gaps should not affect the configuration of measurement gap and the corresponding requirements.</w:t>
      </w:r>
    </w:p>
    <w:p>
      <w:pPr>
        <w:pStyle w:val="3"/>
        <w:tabs>
          <w:tab w:val="left" w:pos="226"/>
          <w:tab w:val="left" w:pos="284"/>
          <w:tab w:val="left" w:pos="5103"/>
        </w:tabs>
        <w:snapToGrid w:val="0"/>
        <w:spacing w:before="156" w:beforeLines="50"/>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2: Scheduling restriction due to UL gap only occurs at the bands capable of UL gap in FR2, For other FR2 bands not capable of UL gap, the UL transmissions should not be affected by UL gap.</w:t>
      </w:r>
    </w:p>
    <w:p>
      <w:pPr>
        <w:pStyle w:val="3"/>
        <w:tabs>
          <w:tab w:val="left" w:pos="226"/>
          <w:tab w:val="left" w:pos="284"/>
          <w:tab w:val="left" w:pos="5103"/>
        </w:tabs>
        <w:snapToGrid w:val="0"/>
        <w:spacing w:before="156" w:beforeLines="50"/>
        <w:rPr>
          <w:rFonts w:hint="eastAsia" w:eastAsia="宋体" w:cs="Times New Roman"/>
          <w:b/>
          <w:bCs/>
          <w:color w:val="auto"/>
          <w:sz w:val="21"/>
          <w:szCs w:val="21"/>
          <w:highlight w:val="none"/>
          <w:lang w:val="en-GB" w:eastAsia="zh-CN" w:bidi="ar-SA"/>
        </w:rPr>
      </w:pPr>
      <w:r>
        <w:rPr>
          <w:rFonts w:hint="eastAsia" w:eastAsia="宋体" w:cs="Times New Roman"/>
          <w:b/>
          <w:bCs/>
          <w:color w:val="auto"/>
          <w:sz w:val="21"/>
          <w:szCs w:val="21"/>
          <w:highlight w:val="none"/>
          <w:lang w:val="en-US" w:eastAsia="zh-CN" w:bidi="ar-SA"/>
        </w:rPr>
        <w:t>Proposal 3: Considering the urgent timeline of Rel-17 WI, if such clustered UL gap mapping can benefit the BPS, we can consider it in the next release.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r>
        <w:rPr>
          <w:rFonts w:hint="eastAsia"/>
          <w:color w:val="auto"/>
          <w:lang w:val="en-US" w:eastAsia="zh-CN"/>
        </w:rPr>
        <w:t>R4-2</w:t>
      </w:r>
      <w:r>
        <w:rPr>
          <w:rFonts w:hint="eastAsia"/>
          <w:color w:val="auto"/>
          <w:highlight w:val="none"/>
          <w:lang w:val="en-US" w:eastAsia="zh-CN"/>
        </w:rPr>
        <w:t>202417</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FR2 enhancement part 2: UL gaps</w:t>
      </w:r>
      <w:r>
        <w:rPr>
          <w:rFonts w:hint="default"/>
          <w:color w:val="auto"/>
          <w:lang w:val="en-US" w:eastAsia="zh-CN"/>
        </w:rPr>
        <w:t>”</w:t>
      </w:r>
      <w:r>
        <w:rPr>
          <w:rFonts w:hint="eastAsia"/>
          <w:color w:val="auto"/>
          <w:lang w:val="en-US" w:eastAsia="zh-CN"/>
        </w:rPr>
        <w:t>, Apple.</w:t>
      </w:r>
    </w:p>
    <w:p>
      <w:pPr>
        <w:pStyle w:val="8"/>
        <w:numPr>
          <w:ilvl w:val="0"/>
          <w:numId w:val="0"/>
        </w:numPr>
        <w:ind w:leftChars="0"/>
        <w:rPr>
          <w:rFonts w:hint="default" w:eastAsia="宋体"/>
          <w:color w:val="auto"/>
          <w:lang w:val="en-US" w:eastAsia="zh-CN"/>
        </w:rPr>
      </w:pP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游明朝">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3">
    <w:nsid w:val="6B6954F7"/>
    <w:multiLevelType w:val="singleLevel"/>
    <w:tmpl w:val="6B6954F7"/>
    <w:lvl w:ilvl="0" w:tentative="0">
      <w:start w:val="1"/>
      <w:numFmt w:val="bullet"/>
      <w:lvlText w:val=""/>
      <w:lvlJc w:val="left"/>
      <w:pPr>
        <w:ind w:left="420" w:hanging="420"/>
      </w:pPr>
      <w:rPr>
        <w:rFonts w:hint="default" w:ascii="Wingdings" w:hAnsi="Wingdings"/>
      </w:rPr>
    </w:lvl>
  </w:abstractNum>
  <w:abstractNum w:abstractNumId="4">
    <w:nsid w:val="7E8B71AC"/>
    <w:multiLevelType w:val="multilevel"/>
    <w:tmpl w:val="7E8B71AC"/>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D491E"/>
    <w:rsid w:val="033A54C2"/>
    <w:rsid w:val="0405471F"/>
    <w:rsid w:val="045D5DCE"/>
    <w:rsid w:val="05200480"/>
    <w:rsid w:val="0659795C"/>
    <w:rsid w:val="06AA1695"/>
    <w:rsid w:val="07CD3CDD"/>
    <w:rsid w:val="086E264C"/>
    <w:rsid w:val="0CC1076F"/>
    <w:rsid w:val="0D6D2FDA"/>
    <w:rsid w:val="0EB818E5"/>
    <w:rsid w:val="0F4B67EF"/>
    <w:rsid w:val="0F5E2230"/>
    <w:rsid w:val="10845506"/>
    <w:rsid w:val="10DA5664"/>
    <w:rsid w:val="11481B13"/>
    <w:rsid w:val="127543CE"/>
    <w:rsid w:val="12CB53F3"/>
    <w:rsid w:val="13060AA5"/>
    <w:rsid w:val="13895863"/>
    <w:rsid w:val="13A03D93"/>
    <w:rsid w:val="16133E3F"/>
    <w:rsid w:val="161505C3"/>
    <w:rsid w:val="16E7731D"/>
    <w:rsid w:val="1711066F"/>
    <w:rsid w:val="17542C92"/>
    <w:rsid w:val="17814B92"/>
    <w:rsid w:val="18800EB0"/>
    <w:rsid w:val="18AA5B3E"/>
    <w:rsid w:val="194122C5"/>
    <w:rsid w:val="1B1D70A1"/>
    <w:rsid w:val="1B5A5199"/>
    <w:rsid w:val="1BD31CD2"/>
    <w:rsid w:val="2082712A"/>
    <w:rsid w:val="21B11B74"/>
    <w:rsid w:val="231F3A56"/>
    <w:rsid w:val="24715F69"/>
    <w:rsid w:val="263D51AB"/>
    <w:rsid w:val="2B034D47"/>
    <w:rsid w:val="2D8824A9"/>
    <w:rsid w:val="2DBD3842"/>
    <w:rsid w:val="2DBD3CB8"/>
    <w:rsid w:val="2E1176AC"/>
    <w:rsid w:val="2ECB7AE0"/>
    <w:rsid w:val="2F196F3B"/>
    <w:rsid w:val="2F6A7113"/>
    <w:rsid w:val="30C973EB"/>
    <w:rsid w:val="33325176"/>
    <w:rsid w:val="33672BF5"/>
    <w:rsid w:val="34C02500"/>
    <w:rsid w:val="35471AF7"/>
    <w:rsid w:val="3A0D4EA0"/>
    <w:rsid w:val="3A47493E"/>
    <w:rsid w:val="3C4E1516"/>
    <w:rsid w:val="3D0F477C"/>
    <w:rsid w:val="3D454163"/>
    <w:rsid w:val="3D6F2596"/>
    <w:rsid w:val="3FF32B7B"/>
    <w:rsid w:val="404F7A6B"/>
    <w:rsid w:val="40C765F3"/>
    <w:rsid w:val="40CC463F"/>
    <w:rsid w:val="40FC7E20"/>
    <w:rsid w:val="42CE6A0F"/>
    <w:rsid w:val="42E26F89"/>
    <w:rsid w:val="43C320E4"/>
    <w:rsid w:val="455509E4"/>
    <w:rsid w:val="45F60A50"/>
    <w:rsid w:val="46157ABD"/>
    <w:rsid w:val="46280997"/>
    <w:rsid w:val="475B6C10"/>
    <w:rsid w:val="477801EF"/>
    <w:rsid w:val="47DB43C5"/>
    <w:rsid w:val="4A3E6D4B"/>
    <w:rsid w:val="4A9B108A"/>
    <w:rsid w:val="4CC53F61"/>
    <w:rsid w:val="4D513299"/>
    <w:rsid w:val="4E6F0AEA"/>
    <w:rsid w:val="4EA56C23"/>
    <w:rsid w:val="4F0B3630"/>
    <w:rsid w:val="4F9305DC"/>
    <w:rsid w:val="4F9A0BDA"/>
    <w:rsid w:val="4FBD6EC5"/>
    <w:rsid w:val="51B14BED"/>
    <w:rsid w:val="51CF00E7"/>
    <w:rsid w:val="52F664E7"/>
    <w:rsid w:val="52FE4FB2"/>
    <w:rsid w:val="54175BE1"/>
    <w:rsid w:val="544A23E1"/>
    <w:rsid w:val="5602195F"/>
    <w:rsid w:val="560E743D"/>
    <w:rsid w:val="564B25D4"/>
    <w:rsid w:val="566165B2"/>
    <w:rsid w:val="56D06899"/>
    <w:rsid w:val="56F1617C"/>
    <w:rsid w:val="58E11E6E"/>
    <w:rsid w:val="590733E0"/>
    <w:rsid w:val="59E05DA7"/>
    <w:rsid w:val="5A151B9F"/>
    <w:rsid w:val="5A26004C"/>
    <w:rsid w:val="5D103461"/>
    <w:rsid w:val="5F7F3C30"/>
    <w:rsid w:val="60213525"/>
    <w:rsid w:val="60552863"/>
    <w:rsid w:val="6086070B"/>
    <w:rsid w:val="617405CF"/>
    <w:rsid w:val="63357437"/>
    <w:rsid w:val="637878E3"/>
    <w:rsid w:val="6544784D"/>
    <w:rsid w:val="65B11A6D"/>
    <w:rsid w:val="65CD0C5C"/>
    <w:rsid w:val="65F872D3"/>
    <w:rsid w:val="66E759DF"/>
    <w:rsid w:val="68105991"/>
    <w:rsid w:val="68797DD1"/>
    <w:rsid w:val="68A411BE"/>
    <w:rsid w:val="6BBF7DCE"/>
    <w:rsid w:val="6BD66290"/>
    <w:rsid w:val="6C7858D5"/>
    <w:rsid w:val="6CF36133"/>
    <w:rsid w:val="6DDE3DAF"/>
    <w:rsid w:val="70A55C85"/>
    <w:rsid w:val="70CC3DDE"/>
    <w:rsid w:val="7123768D"/>
    <w:rsid w:val="715F4C2D"/>
    <w:rsid w:val="72D10B43"/>
    <w:rsid w:val="730A4578"/>
    <w:rsid w:val="75F31A2B"/>
    <w:rsid w:val="765C2F64"/>
    <w:rsid w:val="76DB757D"/>
    <w:rsid w:val="77770209"/>
    <w:rsid w:val="77B7237F"/>
    <w:rsid w:val="77B77629"/>
    <w:rsid w:val="79042C29"/>
    <w:rsid w:val="7AB943F6"/>
    <w:rsid w:val="7C45431D"/>
    <w:rsid w:val="7C941E12"/>
    <w:rsid w:val="7C963B24"/>
    <w:rsid w:val="7CB33AB9"/>
    <w:rsid w:val="7DC00471"/>
    <w:rsid w:val="7DDD0501"/>
    <w:rsid w:val="7E2B63E7"/>
    <w:rsid w:val="7E935AFB"/>
    <w:rsid w:val="7FAD6B99"/>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2022-02-14T12:50:51Z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